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40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40"/>
                                <w:szCs w:val="20"/>
                              </w:rPr>
                              <w:t xml:space="preserve">  “ХАРП-ЭНЕРГО-ГАЗ”</w:t>
                            </w:r>
                          </w:p>
                          <w:p w:rsidR="00DD3CA1" w:rsidRPr="00DD3CA1" w:rsidRDefault="00DD3CA1" w:rsidP="00DD3CA1">
                            <w:pPr>
                              <w:ind w:left="-142" w:right="-3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3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DD3CA1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DD3CA1" w:rsidRPr="00DD3CA1" w:rsidRDefault="00DD3CA1" w:rsidP="00DD3CA1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DD3CA1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C6049A" w:rsidRPr="00C6049A" w:rsidRDefault="00C6049A" w:rsidP="00392208">
                            <w:pPr>
                              <w:ind w:right="-3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6" w:history="1"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0E2414" w:rsidRDefault="00C6049A" w:rsidP="00C6049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40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40"/>
                          <w:szCs w:val="20"/>
                        </w:rPr>
                        <w:t xml:space="preserve">  “ХАРП-ЭНЕРГО-ГАЗ”</w:t>
                      </w:r>
                    </w:p>
                    <w:p w:rsidR="00DD3CA1" w:rsidRPr="00DD3CA1" w:rsidRDefault="00DD3CA1" w:rsidP="00DD3CA1">
                      <w:pPr>
                        <w:ind w:left="-142" w:right="-3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 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3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7" w:history="1"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DD3CA1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DD3CA1" w:rsidRPr="00DD3CA1" w:rsidRDefault="00DD3CA1" w:rsidP="00DD3CA1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DD3CA1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                                           </w:t>
                      </w:r>
                    </w:p>
                    <w:p w:rsidR="00C6049A" w:rsidRPr="00C6049A" w:rsidRDefault="00C6049A" w:rsidP="00392208">
                      <w:pPr>
                        <w:ind w:right="-3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8" w:history="1"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0E2414" w:rsidRDefault="00C6049A" w:rsidP="00C6049A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E62B99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9" o:title="" cropleft="4037f" cropright="37056f"/>
          </v:shape>
          <o:OLEObject Type="Embed" ProgID="CorelDRAW.Graphic.11" ShapeID="_x0000_s1028" DrawAspect="Content" ObjectID="_1747037264" r:id="rId10"/>
        </w:object>
      </w:r>
    </w:p>
    <w:p w:rsidR="000E2414" w:rsidRDefault="00E62B99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9" o:title="" cropleft="4037f" cropright="37056f"/>
          </v:shape>
          <o:OLEObject Type="Embed" ProgID="CorelDRAW.Graphic.11" ShapeID="_x0000_s1030" DrawAspect="Content" ObjectID="_1747037265" r:id="rId11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9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945731" w:rsidRPr="00E62B99" w:rsidRDefault="00CB2E24" w:rsidP="00E62B99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</w:t>
      </w:r>
    </w:p>
    <w:p w:rsidR="000A6D4E" w:rsidRPr="00453F58" w:rsidRDefault="000A6D4E" w:rsidP="000A6D4E">
      <w:pPr>
        <w:ind w:firstLine="540"/>
        <w:jc w:val="both"/>
        <w:rPr>
          <w:bCs w:val="0"/>
        </w:rPr>
      </w:pPr>
      <w:bookmarkStart w:id="0" w:name="_GoBack"/>
      <w:bookmarkEnd w:id="0"/>
      <w:r>
        <w:rPr>
          <w:rFonts w:eastAsiaTheme="minorHAnsi"/>
          <w:bCs w:val="0"/>
          <w:lang w:eastAsia="en-US"/>
        </w:rPr>
        <w:t xml:space="preserve">Раскрытие информации </w:t>
      </w:r>
      <w:r w:rsidRPr="00BB2B5C">
        <w:rPr>
          <w:bCs w:val="0"/>
        </w:rPr>
        <w:t>об объеме прои</w:t>
      </w:r>
      <w:r>
        <w:rPr>
          <w:bCs w:val="0"/>
        </w:rPr>
        <w:t xml:space="preserve">зводства электрической энергии, </w:t>
      </w:r>
      <w:r w:rsidRPr="00BB2B5C">
        <w:rPr>
          <w:bCs w:val="0"/>
        </w:rPr>
        <w:t>об удельном расходе условного топлива, за исключением ядерного топлива на выработку</w:t>
      </w:r>
      <w:r>
        <w:rPr>
          <w:bCs w:val="0"/>
        </w:rPr>
        <w:t xml:space="preserve"> 1 </w:t>
      </w:r>
      <w:proofErr w:type="spellStart"/>
      <w:r>
        <w:rPr>
          <w:bCs w:val="0"/>
        </w:rPr>
        <w:t>кВт·ч</w:t>
      </w:r>
      <w:proofErr w:type="spellEnd"/>
      <w:r>
        <w:rPr>
          <w:bCs w:val="0"/>
        </w:rPr>
        <w:t xml:space="preserve"> электрической энергии, </w:t>
      </w:r>
      <w:r w:rsidRPr="00BB2B5C">
        <w:rPr>
          <w:bCs w:val="0"/>
        </w:rPr>
        <w:t>о фактических расходах на производство</w:t>
      </w:r>
      <w:r>
        <w:rPr>
          <w:bCs w:val="0"/>
        </w:rPr>
        <w:t xml:space="preserve"> 1 </w:t>
      </w:r>
      <w:proofErr w:type="spellStart"/>
      <w:r>
        <w:rPr>
          <w:bCs w:val="0"/>
        </w:rPr>
        <w:t>кВт·ч</w:t>
      </w:r>
      <w:proofErr w:type="spellEnd"/>
      <w:r>
        <w:rPr>
          <w:bCs w:val="0"/>
        </w:rPr>
        <w:t xml:space="preserve"> электрической энергии</w:t>
      </w:r>
      <w:r>
        <w:rPr>
          <w:rFonts w:eastAsiaTheme="minorHAnsi"/>
          <w:bCs w:val="0"/>
          <w:lang w:eastAsia="en-US"/>
        </w:rPr>
        <w:t>, производи</w:t>
      </w:r>
      <w:r>
        <w:rPr>
          <w:rFonts w:eastAsiaTheme="minorHAnsi"/>
          <w:bCs w:val="0"/>
          <w:lang w:eastAsia="en-US"/>
        </w:rPr>
        <w:t>телями электрической энергии (</w:t>
      </w:r>
      <w:r>
        <w:rPr>
          <w:rFonts w:eastAsiaTheme="minorHAnsi"/>
          <w:bCs w:val="0"/>
          <w:lang w:eastAsia="en-US"/>
        </w:rPr>
        <w:t xml:space="preserve">ТЭС </w:t>
      </w:r>
      <w:r>
        <w:rPr>
          <w:rFonts w:eastAsiaTheme="minorHAnsi"/>
          <w:bCs w:val="0"/>
          <w:lang w:eastAsia="en-US"/>
        </w:rPr>
        <w:t>Харп-12</w:t>
      </w:r>
      <w:r>
        <w:rPr>
          <w:rFonts w:eastAsiaTheme="minorHAnsi"/>
          <w:bCs w:val="0"/>
          <w:lang w:eastAsia="en-US"/>
        </w:rPr>
        <w:t xml:space="preserve">), в соответствии                             с </w:t>
      </w:r>
      <w:proofErr w:type="spellStart"/>
      <w:r>
        <w:rPr>
          <w:rFonts w:eastAsiaTheme="minorHAnsi"/>
          <w:bCs w:val="0"/>
          <w:lang w:eastAsia="en-US"/>
        </w:rPr>
        <w:t>п</w:t>
      </w:r>
      <w:r w:rsidRPr="00945731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>п</w:t>
      </w:r>
      <w:proofErr w:type="spellEnd"/>
      <w:r>
        <w:rPr>
          <w:rFonts w:eastAsiaTheme="minorHAnsi"/>
          <w:bCs w:val="0"/>
          <w:lang w:eastAsia="en-US"/>
        </w:rPr>
        <w:t>. Б, В, Г п. 37</w:t>
      </w:r>
      <w:r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Постановление правительства РФ от 21 января 2004 № 24. </w:t>
      </w:r>
    </w:p>
    <w:p w:rsidR="00C10CDE" w:rsidRDefault="00C10CDE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01"/>
        <w:gridCol w:w="5006"/>
        <w:gridCol w:w="1843"/>
        <w:gridCol w:w="1984"/>
      </w:tblGrid>
      <w:tr w:rsidR="00C10CDE" w:rsidRPr="00C10CDE" w:rsidTr="00E62B99">
        <w:trPr>
          <w:trHeight w:val="720"/>
        </w:trPr>
        <w:tc>
          <w:tcPr>
            <w:tcW w:w="801" w:type="dxa"/>
            <w:vMerge w:val="restart"/>
            <w:noWrap/>
            <w:hideMark/>
          </w:tcPr>
          <w:p w:rsidR="00C10CDE" w:rsidRDefault="00C10CDE" w:rsidP="00C10CDE">
            <w:pPr>
              <w:jc w:val="both"/>
              <w:rPr>
                <w:b/>
              </w:rPr>
            </w:pPr>
          </w:p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№п/п</w:t>
            </w:r>
          </w:p>
        </w:tc>
        <w:tc>
          <w:tcPr>
            <w:tcW w:w="5006" w:type="dxa"/>
            <w:vMerge w:val="restart"/>
            <w:hideMark/>
          </w:tcPr>
          <w:p w:rsidR="00C10CDE" w:rsidRDefault="00C10CDE" w:rsidP="00C10CDE">
            <w:pPr>
              <w:jc w:val="center"/>
              <w:rPr>
                <w:b/>
              </w:rPr>
            </w:pPr>
          </w:p>
          <w:p w:rsidR="00C10CDE" w:rsidRDefault="00C10CDE" w:rsidP="00C10CDE">
            <w:pPr>
              <w:jc w:val="center"/>
              <w:rPr>
                <w:b/>
              </w:rPr>
            </w:pPr>
            <w:r w:rsidRPr="00C10CDE">
              <w:rPr>
                <w:b/>
              </w:rPr>
              <w:t>Наименование статьи</w:t>
            </w:r>
          </w:p>
          <w:p w:rsidR="00C10CDE" w:rsidRPr="00C10CDE" w:rsidRDefault="00C10CDE" w:rsidP="00C10CDE">
            <w:pPr>
              <w:tabs>
                <w:tab w:val="left" w:pos="1950"/>
              </w:tabs>
              <w:jc w:val="center"/>
            </w:pPr>
          </w:p>
        </w:tc>
        <w:tc>
          <w:tcPr>
            <w:tcW w:w="1843" w:type="dxa"/>
            <w:vMerge w:val="restart"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Ед. измерения</w:t>
            </w:r>
          </w:p>
        </w:tc>
        <w:tc>
          <w:tcPr>
            <w:tcW w:w="1984" w:type="dxa"/>
            <w:hideMark/>
          </w:tcPr>
          <w:p w:rsidR="00C10CDE" w:rsidRPr="00C10CDE" w:rsidRDefault="00C10CDE" w:rsidP="00C10CDE">
            <w:pPr>
              <w:jc w:val="center"/>
              <w:rPr>
                <w:b/>
              </w:rPr>
            </w:pPr>
            <w:r w:rsidRPr="00C10CDE">
              <w:rPr>
                <w:b/>
              </w:rPr>
              <w:t>Факт предприятия 2022год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vMerge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</w:p>
        </w:tc>
        <w:tc>
          <w:tcPr>
            <w:tcW w:w="5006" w:type="dxa"/>
            <w:vMerge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</w:p>
        </w:tc>
        <w:tc>
          <w:tcPr>
            <w:tcW w:w="1984" w:type="dxa"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производство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1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Выработано электроэнергии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тыс.кВт.ч</w:t>
            </w:r>
            <w:proofErr w:type="spellEnd"/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24 259,16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2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 xml:space="preserve">Расходы на топливо 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тыс.руб</w:t>
            </w:r>
            <w:proofErr w:type="spellEnd"/>
            <w:r w:rsidRPr="00C10CDE">
              <w:rPr>
                <w:b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35 347,45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2.1.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на природный газ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20 740,35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i/>
                <w:iCs/>
              </w:rPr>
            </w:pPr>
            <w:r w:rsidRPr="00C10CDE">
              <w:rPr>
                <w:i/>
                <w:iCs/>
              </w:rPr>
              <w:t>Выработано электроэнергии (газ)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i/>
                <w:iCs/>
              </w:rPr>
            </w:pPr>
            <w:proofErr w:type="spellStart"/>
            <w:r w:rsidRPr="00C10CDE">
              <w:rPr>
                <w:i/>
                <w:iCs/>
              </w:rPr>
              <w:t>тыс.кВт.ч</w:t>
            </w:r>
            <w:proofErr w:type="spellEnd"/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24 253,22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    Количество газа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тыс.куб.м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6 830,06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    Цена за 1 </w:t>
            </w:r>
            <w:proofErr w:type="spellStart"/>
            <w:r w:rsidRPr="00C10CDE">
              <w:t>тыс.куб.м</w:t>
            </w:r>
            <w:proofErr w:type="spellEnd"/>
            <w:r w:rsidRPr="00C10CDE">
              <w:t>.</w:t>
            </w:r>
          </w:p>
        </w:tc>
        <w:tc>
          <w:tcPr>
            <w:tcW w:w="1843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руб.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3 036,63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vMerge w:val="restart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vMerge w:val="restart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Удельный расход условного топлива на отпущенную электрическую энергию</w:t>
            </w:r>
          </w:p>
        </w:tc>
        <w:tc>
          <w:tcPr>
            <w:tcW w:w="1843" w:type="dxa"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г.у.т</w:t>
            </w:r>
            <w:proofErr w:type="spellEnd"/>
            <w:r w:rsidRPr="00C10CDE">
              <w:t>./</w:t>
            </w:r>
            <w:proofErr w:type="spellStart"/>
            <w:r w:rsidRPr="00C10CDE">
              <w:t>кВт.ч</w:t>
            </w:r>
            <w:proofErr w:type="spellEnd"/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396,53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vMerge/>
            <w:hideMark/>
          </w:tcPr>
          <w:p w:rsidR="00C10CDE" w:rsidRPr="00C10CDE" w:rsidRDefault="00C10CDE" w:rsidP="00C10CDE">
            <w:pPr>
              <w:jc w:val="both"/>
            </w:pPr>
          </w:p>
        </w:tc>
        <w:tc>
          <w:tcPr>
            <w:tcW w:w="5006" w:type="dxa"/>
            <w:vMerge/>
            <w:hideMark/>
          </w:tcPr>
          <w:p w:rsidR="00C10CDE" w:rsidRPr="00C10CDE" w:rsidRDefault="00C10CDE" w:rsidP="00C10CDE">
            <w:pPr>
              <w:jc w:val="both"/>
            </w:pP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м3/тыс. </w:t>
            </w:r>
            <w:proofErr w:type="spellStart"/>
            <w:r w:rsidRPr="00C10CDE">
              <w:t>кВт.ч</w:t>
            </w:r>
            <w:proofErr w:type="spellEnd"/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281,61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2.2.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на дизельное топливо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249,78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i/>
                <w:iCs/>
              </w:rPr>
            </w:pPr>
            <w:r w:rsidRPr="00C10CDE">
              <w:rPr>
                <w:i/>
                <w:iCs/>
              </w:rPr>
              <w:t>Выработано электроэнергии (</w:t>
            </w:r>
            <w:proofErr w:type="spellStart"/>
            <w:r w:rsidRPr="00C10CDE">
              <w:rPr>
                <w:i/>
                <w:iCs/>
              </w:rPr>
              <w:t>Дт</w:t>
            </w:r>
            <w:proofErr w:type="spellEnd"/>
            <w:r w:rsidRPr="00C10CDE">
              <w:rPr>
                <w:i/>
                <w:iCs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i/>
                <w:iCs/>
              </w:rPr>
            </w:pPr>
            <w:proofErr w:type="spellStart"/>
            <w:r w:rsidRPr="00C10CDE">
              <w:rPr>
                <w:i/>
                <w:iCs/>
              </w:rPr>
              <w:t>тыс.кВт.ч</w:t>
            </w:r>
            <w:proofErr w:type="spellEnd"/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5,94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    Количество </w:t>
            </w:r>
            <w:proofErr w:type="spellStart"/>
            <w:r w:rsidRPr="00C10CDE">
              <w:t>диз.топливо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тонн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4,23</w:t>
            </w:r>
          </w:p>
        </w:tc>
      </w:tr>
      <w:tr w:rsidR="00C10CDE" w:rsidRPr="00C10CDE" w:rsidTr="00E62B99">
        <w:trPr>
          <w:trHeight w:val="315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    Цена за 1 т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руб.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59 064,11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2.3.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на масло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1 710,96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Количество масла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тонн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6,90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     Цена за 1 т</w:t>
            </w:r>
          </w:p>
        </w:tc>
        <w:tc>
          <w:tcPr>
            <w:tcW w:w="1843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руб.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247 879,53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2.4.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Транспортировка топлива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10 045,34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Услуга ГРО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руб./тыс.м3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1 135,05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Специальная надбавка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руб./тыс.м3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335,70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2.5.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Теплоэнергия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2 452,78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2.6.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Холодная вода 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81,37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2.7.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Канализация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66,87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3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Операционные расходы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тыс.руб</w:t>
            </w:r>
            <w:proofErr w:type="spellEnd"/>
            <w:r w:rsidRPr="00C10CDE">
              <w:rPr>
                <w:b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72 639,38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3.1.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Вспомогательные материалы 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8 008,87</w:t>
            </w:r>
          </w:p>
        </w:tc>
      </w:tr>
      <w:tr w:rsidR="00C10CDE" w:rsidRPr="00C10CDE" w:rsidTr="00E62B99">
        <w:trPr>
          <w:trHeight w:val="51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3.2.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Работы и услуги производственного характера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10 364,47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3.3.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Фонд оплаты труда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39 001,36</w:t>
            </w:r>
          </w:p>
        </w:tc>
      </w:tr>
      <w:tr w:rsidR="00C10CDE" w:rsidRPr="00C10CDE" w:rsidTr="00E62B99">
        <w:trPr>
          <w:trHeight w:val="2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 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 xml:space="preserve">Численность 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чел.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36,15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3.4.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Прочие расходы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14 170,69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3.5.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из прибыли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1 093,99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4.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Неподконтрольные расходы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тыс.руб</w:t>
            </w:r>
            <w:proofErr w:type="spellEnd"/>
            <w:r w:rsidRPr="00C10CDE">
              <w:rPr>
                <w:b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9F2D04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59 255,25</w:t>
            </w:r>
          </w:p>
        </w:tc>
      </w:tr>
      <w:tr w:rsidR="00C10CDE" w:rsidRPr="00C10CDE" w:rsidTr="00E62B99">
        <w:trPr>
          <w:trHeight w:val="51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4.1.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на уплату налогов, сборов и других обязательных платежей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1 201,71</w:t>
            </w:r>
          </w:p>
        </w:tc>
      </w:tr>
      <w:tr w:rsidR="00C10CDE" w:rsidRPr="00C10CDE" w:rsidTr="00E62B99">
        <w:trPr>
          <w:trHeight w:val="51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4.2.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Плата за владение и (или) пользование имуществом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3 072,00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4.3.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Амортизация основных средств и нематериальных активов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16 464,63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4.4.</w:t>
            </w:r>
          </w:p>
        </w:tc>
        <w:tc>
          <w:tcPr>
            <w:tcW w:w="5006" w:type="dxa"/>
            <w:vMerge w:val="restart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Отчисления на страховые взносы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11 302,77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vMerge/>
            <w:hideMark/>
          </w:tcPr>
          <w:p w:rsidR="00C10CDE" w:rsidRPr="00C10CDE" w:rsidRDefault="00C10CDE" w:rsidP="00C10CDE">
            <w:pPr>
              <w:jc w:val="both"/>
            </w:pPr>
          </w:p>
        </w:tc>
        <w:tc>
          <w:tcPr>
            <w:tcW w:w="5006" w:type="dxa"/>
            <w:vMerge/>
            <w:hideMark/>
          </w:tcPr>
          <w:p w:rsidR="00C10CDE" w:rsidRPr="00C10CDE" w:rsidRDefault="00C10CDE" w:rsidP="00C10CDE">
            <w:pPr>
              <w:jc w:val="both"/>
            </w:pP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%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28,98%</w:t>
            </w:r>
          </w:p>
        </w:tc>
      </w:tr>
      <w:tr w:rsidR="00C10CDE" w:rsidRPr="00C10CDE" w:rsidTr="00E62B99">
        <w:trPr>
          <w:trHeight w:val="84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4.5.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Экономически обоснованные расходы, не учтенные органом регулирования при установлении тарифа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3 586,13</w:t>
            </w:r>
          </w:p>
        </w:tc>
      </w:tr>
      <w:tr w:rsidR="00C10CDE" w:rsidRPr="00C10CDE" w:rsidTr="00E62B99">
        <w:trPr>
          <w:trHeight w:val="840"/>
        </w:trPr>
        <w:tc>
          <w:tcPr>
            <w:tcW w:w="801" w:type="dxa"/>
            <w:noWrap/>
            <w:hideMark/>
          </w:tcPr>
          <w:p w:rsidR="00C10CDE" w:rsidRPr="00C10CDE" w:rsidRDefault="009F2D04" w:rsidP="00C10CDE">
            <w:pPr>
              <w:jc w:val="both"/>
            </w:pPr>
            <w:r>
              <w:t>4.8</w:t>
            </w:r>
            <w:r w:rsidR="00C10CDE" w:rsidRPr="00C10CDE">
              <w:t>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20 245,43</w:t>
            </w:r>
          </w:p>
        </w:tc>
      </w:tr>
      <w:tr w:rsidR="00C10CDE" w:rsidRPr="00C10CDE" w:rsidTr="00E62B99">
        <w:trPr>
          <w:trHeight w:val="300"/>
        </w:trPr>
        <w:tc>
          <w:tcPr>
            <w:tcW w:w="801" w:type="dxa"/>
            <w:noWrap/>
            <w:hideMark/>
          </w:tcPr>
          <w:p w:rsidR="00C10CDE" w:rsidRPr="00C10CDE" w:rsidRDefault="009F2D04" w:rsidP="00C10CDE">
            <w:pPr>
              <w:jc w:val="both"/>
            </w:pPr>
            <w:r>
              <w:t>4.9</w:t>
            </w:r>
            <w:r w:rsidR="00C10CDE" w:rsidRPr="00C10CDE">
              <w:t>.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</w:pPr>
            <w:r w:rsidRPr="00C10CDE">
              <w:t>Налог на прибыль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</w:pPr>
            <w:proofErr w:type="spellStart"/>
            <w:r w:rsidRPr="00C10CDE">
              <w:t>тыс.руб</w:t>
            </w:r>
            <w:proofErr w:type="spellEnd"/>
            <w:r w:rsidRPr="00C10CDE"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</w:pPr>
            <w:r w:rsidRPr="009F2D04">
              <w:t>3 382,59</w:t>
            </w:r>
          </w:p>
        </w:tc>
      </w:tr>
      <w:tr w:rsidR="00C10CDE" w:rsidRPr="00C10CDE" w:rsidTr="00E62B99">
        <w:trPr>
          <w:trHeight w:val="510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5</w:t>
            </w:r>
          </w:p>
        </w:tc>
        <w:tc>
          <w:tcPr>
            <w:tcW w:w="5006" w:type="dxa"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Недополученные ("+") или излишне полученные ("-") доходы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тыс.руб</w:t>
            </w:r>
            <w:proofErr w:type="spellEnd"/>
            <w:r w:rsidRPr="00C10CDE">
              <w:rPr>
                <w:b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C10CDE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36 317,25</w:t>
            </w:r>
          </w:p>
        </w:tc>
      </w:tr>
      <w:tr w:rsidR="00C10CDE" w:rsidRPr="00C10CDE" w:rsidTr="00E62B99">
        <w:trPr>
          <w:trHeight w:val="315"/>
        </w:trPr>
        <w:tc>
          <w:tcPr>
            <w:tcW w:w="801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6</w:t>
            </w:r>
          </w:p>
        </w:tc>
        <w:tc>
          <w:tcPr>
            <w:tcW w:w="5006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r w:rsidRPr="00C10CDE">
              <w:rPr>
                <w:b/>
              </w:rPr>
              <w:t>Итого НВВ</w:t>
            </w:r>
          </w:p>
        </w:tc>
        <w:tc>
          <w:tcPr>
            <w:tcW w:w="1843" w:type="dxa"/>
            <w:noWrap/>
            <w:hideMark/>
          </w:tcPr>
          <w:p w:rsidR="00C10CDE" w:rsidRPr="00C10CDE" w:rsidRDefault="00C10CDE" w:rsidP="00C10CDE">
            <w:pPr>
              <w:jc w:val="both"/>
              <w:rPr>
                <w:b/>
              </w:rPr>
            </w:pPr>
            <w:proofErr w:type="spellStart"/>
            <w:r w:rsidRPr="00C10CDE">
              <w:rPr>
                <w:b/>
              </w:rPr>
              <w:t>тыс.руб</w:t>
            </w:r>
            <w:proofErr w:type="spellEnd"/>
            <w:r w:rsidRPr="00C10CDE">
              <w:rPr>
                <w:b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C10CDE" w:rsidRPr="009F2D04" w:rsidRDefault="009F2D04" w:rsidP="00C10CDE">
            <w:pPr>
              <w:jc w:val="both"/>
              <w:rPr>
                <w:b/>
              </w:rPr>
            </w:pPr>
            <w:r w:rsidRPr="009F2D04">
              <w:rPr>
                <w:b/>
              </w:rPr>
              <w:t>203 559,33</w:t>
            </w:r>
          </w:p>
        </w:tc>
      </w:tr>
    </w:tbl>
    <w:p w:rsidR="00661A29" w:rsidRPr="00661A29" w:rsidRDefault="00661A29" w:rsidP="00C10CDE">
      <w:pPr>
        <w:jc w:val="both"/>
      </w:pPr>
    </w:p>
    <w:sectPr w:rsidR="00661A29" w:rsidRPr="00661A29" w:rsidSect="000A6D4E">
      <w:pgSz w:w="11906" w:h="16838"/>
      <w:pgMar w:top="1079" w:right="849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26461"/>
    <w:rsid w:val="00065B00"/>
    <w:rsid w:val="0008117E"/>
    <w:rsid w:val="00087F78"/>
    <w:rsid w:val="000A4829"/>
    <w:rsid w:val="000A6D4E"/>
    <w:rsid w:val="000E2414"/>
    <w:rsid w:val="001166DE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C0FAC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92208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1064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53D88"/>
    <w:rsid w:val="00761206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95A7C"/>
    <w:rsid w:val="008B2378"/>
    <w:rsid w:val="008C797F"/>
    <w:rsid w:val="008E16FD"/>
    <w:rsid w:val="008E569E"/>
    <w:rsid w:val="008E63AF"/>
    <w:rsid w:val="00902A96"/>
    <w:rsid w:val="00945731"/>
    <w:rsid w:val="00956146"/>
    <w:rsid w:val="00957F79"/>
    <w:rsid w:val="0096201F"/>
    <w:rsid w:val="009661BA"/>
    <w:rsid w:val="00993898"/>
    <w:rsid w:val="009A1565"/>
    <w:rsid w:val="009D6492"/>
    <w:rsid w:val="009E5BB7"/>
    <w:rsid w:val="009F16A2"/>
    <w:rsid w:val="009F2D04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07787"/>
    <w:rsid w:val="00C10CDE"/>
    <w:rsid w:val="00C43E07"/>
    <w:rsid w:val="00C5551C"/>
    <w:rsid w:val="00C6049A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63DF0"/>
    <w:rsid w:val="00D91789"/>
    <w:rsid w:val="00D95AA4"/>
    <w:rsid w:val="00DB4A4D"/>
    <w:rsid w:val="00DC744E"/>
    <w:rsid w:val="00DD3CA1"/>
    <w:rsid w:val="00DD5A32"/>
    <w:rsid w:val="00DE6F62"/>
    <w:rsid w:val="00E03F51"/>
    <w:rsid w:val="00E11E75"/>
    <w:rsid w:val="00E62B99"/>
    <w:rsid w:val="00E718E9"/>
    <w:rsid w:val="00E7573B"/>
    <w:rsid w:val="00EC1464"/>
    <w:rsid w:val="00EC4187"/>
    <w:rsid w:val="00ED2BCB"/>
    <w:rsid w:val="00F04A1A"/>
    <w:rsid w:val="00F07532"/>
    <w:rsid w:val="00F07F16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energoga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energogaz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harpenergogaz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2492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6</cp:revision>
  <cp:lastPrinted>2023-05-31T06:21:00Z</cp:lastPrinted>
  <dcterms:created xsi:type="dcterms:W3CDTF">2023-05-25T11:06:00Z</dcterms:created>
  <dcterms:modified xsi:type="dcterms:W3CDTF">2023-05-31T06:21:00Z</dcterms:modified>
</cp:coreProperties>
</file>